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88A" w:rsidRPr="002078AC" w:rsidRDefault="00ED788A" w:rsidP="005251F8">
      <w:pPr>
        <w:jc w:val="center"/>
        <w:rPr>
          <w:rFonts w:cs="Arial"/>
          <w:b/>
          <w:sz w:val="28"/>
          <w:szCs w:val="28"/>
        </w:rPr>
      </w:pPr>
      <w:r w:rsidRPr="002078AC">
        <w:rPr>
          <w:rFonts w:cs="Arial"/>
          <w:b/>
          <w:sz w:val="28"/>
          <w:szCs w:val="28"/>
        </w:rPr>
        <w:t xml:space="preserve">SEDA Services and Enterprise </w:t>
      </w:r>
      <w:r w:rsidR="002078AC">
        <w:rPr>
          <w:rFonts w:cs="Arial"/>
          <w:b/>
          <w:sz w:val="28"/>
          <w:szCs w:val="28"/>
        </w:rPr>
        <w:t>sub-</w:t>
      </w:r>
      <w:r w:rsidRPr="002078AC">
        <w:rPr>
          <w:rFonts w:cs="Arial"/>
          <w:b/>
          <w:sz w:val="28"/>
          <w:szCs w:val="28"/>
        </w:rPr>
        <w:t>Committee</w:t>
      </w:r>
    </w:p>
    <w:p w:rsidR="00ED788A" w:rsidRDefault="00ED788A" w:rsidP="005251F8">
      <w:pPr>
        <w:jc w:val="center"/>
        <w:rPr>
          <w:rFonts w:cs="Arial"/>
          <w:b/>
          <w:sz w:val="28"/>
          <w:szCs w:val="28"/>
        </w:rPr>
      </w:pPr>
      <w:r w:rsidRPr="002078AC">
        <w:rPr>
          <w:rFonts w:cs="Arial"/>
          <w:b/>
          <w:sz w:val="28"/>
          <w:szCs w:val="28"/>
        </w:rPr>
        <w:t>Terms of Reference</w:t>
      </w:r>
    </w:p>
    <w:p w:rsidR="002078AC" w:rsidRPr="002078AC" w:rsidRDefault="002078AC" w:rsidP="00ED788A">
      <w:pPr>
        <w:rPr>
          <w:rFonts w:cs="Arial"/>
          <w:b/>
          <w:sz w:val="28"/>
          <w:szCs w:val="28"/>
        </w:rPr>
      </w:pPr>
    </w:p>
    <w:p w:rsidR="00ED788A" w:rsidRPr="002078AC" w:rsidRDefault="002078AC" w:rsidP="002078AC">
      <w:pPr>
        <w:pStyle w:val="ListParagraph"/>
        <w:numPr>
          <w:ilvl w:val="0"/>
          <w:numId w:val="15"/>
        </w:numPr>
        <w:ind w:left="426"/>
        <w:rPr>
          <w:rFonts w:ascii="Arial" w:hAnsi="Arial" w:cs="Arial"/>
          <w:b/>
        </w:rPr>
      </w:pPr>
      <w:r w:rsidRPr="002078AC">
        <w:rPr>
          <w:rFonts w:ascii="Arial" w:hAnsi="Arial" w:cs="Arial"/>
          <w:b/>
        </w:rPr>
        <w:t xml:space="preserve"> </w:t>
      </w:r>
      <w:r w:rsidR="00ED788A" w:rsidRPr="002078AC">
        <w:rPr>
          <w:rFonts w:ascii="Arial" w:hAnsi="Arial" w:cs="Arial"/>
          <w:b/>
        </w:rPr>
        <w:t>Purpose</w:t>
      </w:r>
    </w:p>
    <w:p w:rsidR="00ED788A" w:rsidRDefault="00ED788A" w:rsidP="00ED788A">
      <w:pPr>
        <w:spacing w:after="0"/>
        <w:rPr>
          <w:rFonts w:ascii="Calibri" w:hAnsi="Calibri"/>
          <w:sz w:val="24"/>
        </w:rPr>
      </w:pPr>
      <w:r w:rsidRPr="0024347D">
        <w:rPr>
          <w:rFonts w:ascii="Calibri" w:hAnsi="Calibri"/>
          <w:sz w:val="24"/>
        </w:rPr>
        <w:t xml:space="preserve">The SEDA Services and Enterprise </w:t>
      </w:r>
      <w:r w:rsidR="002078AC">
        <w:rPr>
          <w:rFonts w:ascii="Calibri" w:hAnsi="Calibri"/>
          <w:sz w:val="24"/>
        </w:rPr>
        <w:t>sub-</w:t>
      </w:r>
      <w:r w:rsidRPr="0024347D">
        <w:rPr>
          <w:rFonts w:ascii="Calibri" w:hAnsi="Calibri"/>
          <w:sz w:val="24"/>
        </w:rPr>
        <w:t xml:space="preserve">Committee exists to support SEDA’s leading role in educational development by ensuring the relevance and viability of SEDA’s membership offer. </w:t>
      </w:r>
      <w:r>
        <w:rPr>
          <w:rFonts w:ascii="Calibri" w:hAnsi="Calibri"/>
          <w:sz w:val="24"/>
        </w:rPr>
        <w:t xml:space="preserve"> </w:t>
      </w:r>
      <w:r w:rsidRPr="0024347D">
        <w:rPr>
          <w:rFonts w:ascii="Calibri" w:hAnsi="Calibri"/>
          <w:sz w:val="24"/>
        </w:rPr>
        <w:t xml:space="preserve">SEDA is mindful of </w:t>
      </w:r>
      <w:r>
        <w:rPr>
          <w:rFonts w:ascii="Calibri" w:hAnsi="Calibri"/>
          <w:sz w:val="24"/>
        </w:rPr>
        <w:t xml:space="preserve">the need for SEC </w:t>
      </w:r>
      <w:r w:rsidRPr="0024347D">
        <w:rPr>
          <w:rFonts w:ascii="Calibri" w:hAnsi="Calibri"/>
          <w:sz w:val="24"/>
        </w:rPr>
        <w:t xml:space="preserve">not </w:t>
      </w:r>
      <w:r>
        <w:rPr>
          <w:rFonts w:ascii="Calibri" w:hAnsi="Calibri"/>
          <w:sz w:val="24"/>
        </w:rPr>
        <w:t xml:space="preserve">to </w:t>
      </w:r>
      <w:r w:rsidRPr="0024347D">
        <w:rPr>
          <w:rFonts w:ascii="Calibri" w:hAnsi="Calibri"/>
          <w:sz w:val="24"/>
        </w:rPr>
        <w:t>replicat</w:t>
      </w:r>
      <w:r>
        <w:rPr>
          <w:rFonts w:ascii="Calibri" w:hAnsi="Calibri"/>
          <w:sz w:val="24"/>
        </w:rPr>
        <w:t>e</w:t>
      </w:r>
      <w:r w:rsidRPr="0024347D">
        <w:rPr>
          <w:rFonts w:ascii="Calibri" w:hAnsi="Calibri"/>
          <w:sz w:val="24"/>
        </w:rPr>
        <w:t xml:space="preserve"> the work of other </w:t>
      </w:r>
      <w:r>
        <w:rPr>
          <w:rFonts w:ascii="Calibri" w:hAnsi="Calibri"/>
          <w:sz w:val="24"/>
        </w:rPr>
        <w:t xml:space="preserve">SEDA </w:t>
      </w:r>
      <w:r w:rsidRPr="0024347D">
        <w:rPr>
          <w:rFonts w:ascii="Calibri" w:hAnsi="Calibri"/>
          <w:sz w:val="24"/>
        </w:rPr>
        <w:t>Committees</w:t>
      </w:r>
      <w:r>
        <w:rPr>
          <w:rFonts w:ascii="Calibri" w:hAnsi="Calibri"/>
          <w:sz w:val="24"/>
        </w:rPr>
        <w:t>: SEC must therefore liaise regularly with other sections of SEDA to ensure that any new enterprises identified and nurtured can have long-term sustainability within the organisation.</w:t>
      </w:r>
    </w:p>
    <w:p w:rsidR="00ED788A" w:rsidRPr="002078AC" w:rsidRDefault="002078AC" w:rsidP="004A486B">
      <w:pPr>
        <w:pStyle w:val="ListParagraph"/>
        <w:numPr>
          <w:ilvl w:val="0"/>
          <w:numId w:val="15"/>
        </w:numPr>
        <w:spacing w:before="360" w:after="120"/>
        <w:ind w:left="425" w:hanging="357"/>
        <w:contextualSpacing w:val="0"/>
        <w:rPr>
          <w:rFonts w:ascii="Arial" w:hAnsi="Arial" w:cs="Arial"/>
          <w:b/>
        </w:rPr>
      </w:pPr>
      <w:r w:rsidRPr="002078AC">
        <w:rPr>
          <w:rFonts w:ascii="Arial" w:hAnsi="Arial" w:cs="Arial"/>
          <w:b/>
        </w:rPr>
        <w:t xml:space="preserve"> </w:t>
      </w:r>
      <w:r w:rsidR="00ED788A" w:rsidRPr="002078AC">
        <w:rPr>
          <w:rFonts w:ascii="Arial" w:hAnsi="Arial" w:cs="Arial"/>
          <w:b/>
        </w:rPr>
        <w:t>Aims</w:t>
      </w:r>
    </w:p>
    <w:p w:rsidR="00ED788A" w:rsidRDefault="00ED788A" w:rsidP="00ED788A">
      <w:pPr>
        <w:rPr>
          <w:rFonts w:ascii="Calibri" w:hAnsi="Calibri"/>
          <w:sz w:val="24"/>
        </w:rPr>
      </w:pPr>
      <w:r w:rsidRPr="0024347D">
        <w:rPr>
          <w:rFonts w:ascii="Calibri" w:hAnsi="Calibri"/>
          <w:sz w:val="24"/>
        </w:rPr>
        <w:t xml:space="preserve">The aims of the Services and Enterprise </w:t>
      </w:r>
      <w:r w:rsidR="002078AC">
        <w:rPr>
          <w:rFonts w:ascii="Calibri" w:hAnsi="Calibri"/>
          <w:sz w:val="24"/>
        </w:rPr>
        <w:t>sub-</w:t>
      </w:r>
      <w:r w:rsidRPr="0024347D">
        <w:rPr>
          <w:rFonts w:ascii="Calibri" w:hAnsi="Calibri"/>
          <w:sz w:val="24"/>
        </w:rPr>
        <w:t xml:space="preserve">Committee </w:t>
      </w:r>
      <w:bookmarkStart w:id="0" w:name="_GoBack"/>
      <w:bookmarkEnd w:id="0"/>
      <w:r w:rsidRPr="0024347D">
        <w:rPr>
          <w:rFonts w:ascii="Calibri" w:hAnsi="Calibri"/>
          <w:sz w:val="24"/>
        </w:rPr>
        <w:t>are to</w:t>
      </w:r>
      <w:r>
        <w:rPr>
          <w:rFonts w:ascii="Calibri" w:hAnsi="Calibri"/>
          <w:sz w:val="24"/>
        </w:rPr>
        <w:t>:</w:t>
      </w:r>
      <w:r w:rsidRPr="0024347D">
        <w:rPr>
          <w:rFonts w:ascii="Calibri" w:hAnsi="Calibri"/>
          <w:sz w:val="24"/>
        </w:rPr>
        <w:t xml:space="preserve"> </w:t>
      </w:r>
    </w:p>
    <w:p w:rsidR="00ED788A" w:rsidRDefault="00ED788A" w:rsidP="00325F90">
      <w:pPr>
        <w:numPr>
          <w:ilvl w:val="0"/>
          <w:numId w:val="2"/>
        </w:numPr>
        <w:spacing w:before="120" w:after="120"/>
        <w:ind w:left="425" w:hanging="357"/>
        <w:rPr>
          <w:rFonts w:ascii="Calibri" w:hAnsi="Calibri"/>
          <w:sz w:val="24"/>
        </w:rPr>
      </w:pPr>
      <w:r>
        <w:rPr>
          <w:rFonts w:ascii="Calibri" w:hAnsi="Calibri"/>
          <w:sz w:val="24"/>
        </w:rPr>
        <w:t>L</w:t>
      </w:r>
      <w:r w:rsidRPr="0024347D">
        <w:rPr>
          <w:rFonts w:ascii="Calibri" w:hAnsi="Calibri"/>
          <w:sz w:val="24"/>
        </w:rPr>
        <w:t>ead SEDA’s work in identifying changing needs and initiatives in the sector</w:t>
      </w:r>
      <w:r w:rsidR="002078AC">
        <w:rPr>
          <w:rFonts w:ascii="Calibri" w:hAnsi="Calibri"/>
          <w:sz w:val="24"/>
        </w:rPr>
        <w:t>.</w:t>
      </w:r>
    </w:p>
    <w:p w:rsidR="00ED788A" w:rsidRDefault="00ED788A" w:rsidP="00325F90">
      <w:pPr>
        <w:numPr>
          <w:ilvl w:val="0"/>
          <w:numId w:val="2"/>
        </w:numPr>
        <w:spacing w:before="120" w:after="120"/>
        <w:ind w:left="425" w:hanging="357"/>
        <w:rPr>
          <w:rFonts w:ascii="Calibri" w:hAnsi="Calibri"/>
          <w:sz w:val="24"/>
        </w:rPr>
      </w:pPr>
      <w:r>
        <w:rPr>
          <w:rFonts w:ascii="Calibri" w:hAnsi="Calibri"/>
          <w:sz w:val="24"/>
        </w:rPr>
        <w:t>E</w:t>
      </w:r>
      <w:r w:rsidRPr="0024347D">
        <w:rPr>
          <w:rFonts w:ascii="Calibri" w:hAnsi="Calibri"/>
          <w:sz w:val="24"/>
        </w:rPr>
        <w:t xml:space="preserve">nsure the services SEDA provides address the needs of </w:t>
      </w:r>
      <w:r>
        <w:rPr>
          <w:rFonts w:ascii="Calibri" w:hAnsi="Calibri"/>
          <w:sz w:val="24"/>
        </w:rPr>
        <w:t xml:space="preserve">its </w:t>
      </w:r>
      <w:r w:rsidRPr="0024347D">
        <w:rPr>
          <w:rFonts w:ascii="Calibri" w:hAnsi="Calibri"/>
          <w:sz w:val="24"/>
        </w:rPr>
        <w:t>members and the wider sector</w:t>
      </w:r>
      <w:r w:rsidR="002078AC">
        <w:rPr>
          <w:rFonts w:ascii="Calibri" w:hAnsi="Calibri"/>
          <w:sz w:val="24"/>
        </w:rPr>
        <w:t>.</w:t>
      </w:r>
      <w:r>
        <w:rPr>
          <w:rFonts w:ascii="Calibri" w:hAnsi="Calibri"/>
          <w:sz w:val="24"/>
        </w:rPr>
        <w:t xml:space="preserve"> </w:t>
      </w:r>
    </w:p>
    <w:p w:rsidR="00ED788A" w:rsidRDefault="00ED788A" w:rsidP="00325F90">
      <w:pPr>
        <w:numPr>
          <w:ilvl w:val="0"/>
          <w:numId w:val="2"/>
        </w:numPr>
        <w:spacing w:before="120" w:after="120"/>
        <w:ind w:left="425" w:hanging="357"/>
        <w:rPr>
          <w:rFonts w:ascii="Calibri" w:hAnsi="Calibri"/>
          <w:sz w:val="24"/>
        </w:rPr>
      </w:pPr>
      <w:r>
        <w:rPr>
          <w:rFonts w:ascii="Calibri" w:hAnsi="Calibri"/>
          <w:sz w:val="24"/>
        </w:rPr>
        <w:t>C</w:t>
      </w:r>
      <w:r w:rsidRPr="0024347D">
        <w:rPr>
          <w:rFonts w:ascii="Calibri" w:hAnsi="Calibri"/>
          <w:sz w:val="24"/>
        </w:rPr>
        <w:t>o-ordinate</w:t>
      </w:r>
      <w:r>
        <w:rPr>
          <w:rFonts w:ascii="Calibri" w:hAnsi="Calibri"/>
          <w:sz w:val="24"/>
        </w:rPr>
        <w:t xml:space="preserve"> </w:t>
      </w:r>
      <w:r w:rsidRPr="0024347D">
        <w:rPr>
          <w:rFonts w:ascii="Calibri" w:hAnsi="Calibri"/>
          <w:sz w:val="24"/>
        </w:rPr>
        <w:t>a</w:t>
      </w:r>
      <w:r>
        <w:rPr>
          <w:rFonts w:ascii="Calibri" w:hAnsi="Calibri"/>
          <w:sz w:val="24"/>
        </w:rPr>
        <w:t>n attractive</w:t>
      </w:r>
      <w:r w:rsidRPr="0024347D">
        <w:rPr>
          <w:rFonts w:ascii="Calibri" w:hAnsi="Calibri"/>
          <w:sz w:val="24"/>
        </w:rPr>
        <w:t xml:space="preserve"> </w:t>
      </w:r>
      <w:r>
        <w:rPr>
          <w:rFonts w:ascii="Calibri" w:hAnsi="Calibri"/>
          <w:sz w:val="24"/>
        </w:rPr>
        <w:t xml:space="preserve">and value-for-money </w:t>
      </w:r>
      <w:r w:rsidRPr="0024347D">
        <w:rPr>
          <w:rFonts w:ascii="Calibri" w:hAnsi="Calibri"/>
          <w:sz w:val="24"/>
        </w:rPr>
        <w:t xml:space="preserve">range of services to SEDA members </w:t>
      </w:r>
      <w:r>
        <w:rPr>
          <w:rFonts w:ascii="Calibri" w:hAnsi="Calibri"/>
          <w:sz w:val="24"/>
        </w:rPr>
        <w:t xml:space="preserve">as part of </w:t>
      </w:r>
      <w:r w:rsidRPr="0024347D">
        <w:rPr>
          <w:rFonts w:ascii="Calibri" w:hAnsi="Calibri"/>
          <w:sz w:val="24"/>
        </w:rPr>
        <w:t>a financially viable membership offer</w:t>
      </w:r>
      <w:r w:rsidR="002078AC">
        <w:rPr>
          <w:rFonts w:ascii="Calibri" w:hAnsi="Calibri"/>
          <w:sz w:val="24"/>
        </w:rPr>
        <w:t>.</w:t>
      </w:r>
    </w:p>
    <w:p w:rsidR="00F7674C" w:rsidRPr="002078AC" w:rsidRDefault="002078AC" w:rsidP="004A486B">
      <w:pPr>
        <w:pStyle w:val="ListParagraph"/>
        <w:numPr>
          <w:ilvl w:val="0"/>
          <w:numId w:val="15"/>
        </w:numPr>
        <w:spacing w:before="360" w:after="120"/>
        <w:ind w:left="425" w:hanging="357"/>
        <w:contextualSpacing w:val="0"/>
        <w:rPr>
          <w:rFonts w:ascii="Arial" w:hAnsi="Arial" w:cs="Arial"/>
          <w:b/>
        </w:rPr>
      </w:pPr>
      <w:r w:rsidRPr="002078AC">
        <w:rPr>
          <w:rFonts w:ascii="Arial" w:eastAsia="Cambria" w:hAnsi="Arial" w:cs="Arial"/>
          <w:b/>
          <w:lang w:val="en-GB" w:eastAsia="en-US"/>
        </w:rPr>
        <w:t xml:space="preserve"> </w:t>
      </w:r>
      <w:r w:rsidR="00F7674C" w:rsidRPr="002078AC">
        <w:rPr>
          <w:rFonts w:ascii="Arial" w:hAnsi="Arial" w:cs="Arial"/>
          <w:b/>
        </w:rPr>
        <w:t>Functions</w:t>
      </w:r>
    </w:p>
    <w:p w:rsidR="00F7674C" w:rsidRPr="00ED788A" w:rsidRDefault="00F7674C" w:rsidP="00F7674C">
      <w:pPr>
        <w:pStyle w:val="ListParagraph"/>
        <w:numPr>
          <w:ilvl w:val="0"/>
          <w:numId w:val="11"/>
        </w:numPr>
        <w:spacing w:before="120" w:after="120"/>
        <w:ind w:left="426"/>
        <w:contextualSpacing w:val="0"/>
        <w:rPr>
          <w:rFonts w:ascii="Calibri" w:hAnsi="Calibri"/>
        </w:rPr>
      </w:pPr>
      <w:r w:rsidRPr="00ED788A">
        <w:rPr>
          <w:rFonts w:ascii="Calibri" w:hAnsi="Calibri"/>
        </w:rPr>
        <w:t>To ensure that the SEDA</w:t>
      </w:r>
      <w:r w:rsidR="002078AC">
        <w:rPr>
          <w:rFonts w:ascii="Calibri" w:hAnsi="Calibri"/>
        </w:rPr>
        <w:t>’s activities (related to the</w:t>
      </w:r>
      <w:r w:rsidRPr="00ED788A">
        <w:rPr>
          <w:rFonts w:ascii="Calibri" w:hAnsi="Calibri"/>
        </w:rPr>
        <w:t xml:space="preserve"> </w:t>
      </w:r>
      <w:r w:rsidR="002078AC">
        <w:rPr>
          <w:rFonts w:ascii="Calibri" w:hAnsi="Calibri"/>
        </w:rPr>
        <w:t>sub-C</w:t>
      </w:r>
      <w:r w:rsidRPr="00ED788A">
        <w:rPr>
          <w:rFonts w:ascii="Calibri" w:hAnsi="Calibri"/>
        </w:rPr>
        <w:t>ommittee) are carried out effectively in line with the SEDA strategy and budget.</w:t>
      </w:r>
    </w:p>
    <w:p w:rsidR="00F7674C" w:rsidRPr="00ED788A" w:rsidRDefault="00F7674C" w:rsidP="00F7674C">
      <w:pPr>
        <w:pStyle w:val="ListParagraph"/>
        <w:numPr>
          <w:ilvl w:val="0"/>
          <w:numId w:val="11"/>
        </w:numPr>
        <w:spacing w:before="120" w:after="120"/>
        <w:ind w:left="426"/>
        <w:contextualSpacing w:val="0"/>
        <w:rPr>
          <w:rFonts w:ascii="Calibri" w:hAnsi="Calibri"/>
        </w:rPr>
      </w:pPr>
      <w:r w:rsidRPr="00ED788A">
        <w:rPr>
          <w:rFonts w:ascii="Calibri" w:hAnsi="Calibri"/>
        </w:rPr>
        <w:t xml:space="preserve">To advise the SEDA Executive Committee on matters pertaining to the </w:t>
      </w:r>
      <w:r w:rsidR="002078AC">
        <w:rPr>
          <w:rFonts w:ascii="Calibri" w:hAnsi="Calibri"/>
        </w:rPr>
        <w:t>s</w:t>
      </w:r>
      <w:r w:rsidRPr="00ED788A">
        <w:rPr>
          <w:rFonts w:ascii="Calibri" w:hAnsi="Calibri"/>
        </w:rPr>
        <w:t>ub-Committee activity.</w:t>
      </w:r>
    </w:p>
    <w:p w:rsidR="00F7674C" w:rsidRDefault="00F7674C" w:rsidP="00F7674C">
      <w:pPr>
        <w:pStyle w:val="ListParagraph"/>
        <w:numPr>
          <w:ilvl w:val="0"/>
          <w:numId w:val="11"/>
        </w:numPr>
        <w:spacing w:before="120" w:after="120"/>
        <w:ind w:left="426"/>
        <w:contextualSpacing w:val="0"/>
        <w:rPr>
          <w:rFonts w:ascii="Calibri" w:hAnsi="Calibri"/>
        </w:rPr>
      </w:pPr>
      <w:r w:rsidRPr="00ED788A">
        <w:rPr>
          <w:rFonts w:ascii="Calibri" w:hAnsi="Calibri"/>
        </w:rPr>
        <w:t>To make recommendations to the SEDA Executive Committee on any strategic matters relating to the Sub-Committee’s areas of activity. For some matters, the SEDA Executive Committee will be responsible for the final decision.</w:t>
      </w:r>
    </w:p>
    <w:p w:rsidR="00F7674C" w:rsidRPr="00325F90" w:rsidRDefault="00F7674C" w:rsidP="00F7674C">
      <w:pPr>
        <w:pStyle w:val="ListParagraph"/>
        <w:numPr>
          <w:ilvl w:val="0"/>
          <w:numId w:val="11"/>
        </w:numPr>
        <w:spacing w:before="120" w:after="120"/>
        <w:ind w:left="426"/>
        <w:contextualSpacing w:val="0"/>
        <w:rPr>
          <w:rFonts w:ascii="Calibri" w:hAnsi="Calibri"/>
        </w:rPr>
      </w:pPr>
      <w:r w:rsidRPr="00325F90">
        <w:rPr>
          <w:rFonts w:ascii="Calibri" w:hAnsi="Calibri"/>
        </w:rPr>
        <w:t>The Committee specifically undertakes activity in the following areas:</w:t>
      </w:r>
    </w:p>
    <w:p w:rsidR="00F7674C" w:rsidRPr="0024347D" w:rsidRDefault="00F7674C" w:rsidP="00F7674C">
      <w:pPr>
        <w:numPr>
          <w:ilvl w:val="0"/>
          <w:numId w:val="1"/>
        </w:numPr>
        <w:spacing w:after="0"/>
        <w:ind w:left="709"/>
        <w:rPr>
          <w:rFonts w:ascii="Calibri" w:hAnsi="Calibri"/>
          <w:sz w:val="24"/>
        </w:rPr>
      </w:pPr>
      <w:r>
        <w:rPr>
          <w:rFonts w:ascii="Calibri" w:hAnsi="Calibri"/>
          <w:sz w:val="24"/>
        </w:rPr>
        <w:t>Monitor trends in individual and institutional membership, and make recommendations to Executive, with the view of ensuring the provision of services aligns appropriately and sustainably with the fee</w:t>
      </w:r>
    </w:p>
    <w:p w:rsidR="00F7674C" w:rsidRDefault="00F7674C" w:rsidP="00F7674C">
      <w:pPr>
        <w:numPr>
          <w:ilvl w:val="0"/>
          <w:numId w:val="1"/>
        </w:numPr>
        <w:spacing w:after="0"/>
        <w:ind w:left="709"/>
        <w:rPr>
          <w:rFonts w:ascii="Calibri" w:hAnsi="Calibri"/>
          <w:sz w:val="24"/>
        </w:rPr>
      </w:pPr>
      <w:r>
        <w:rPr>
          <w:rFonts w:ascii="Calibri" w:hAnsi="Calibri"/>
          <w:sz w:val="24"/>
        </w:rPr>
        <w:t>Ensure the effective running of the SEDA Fellowships scheme, and oversee the offers, numbers of registrants, completions, and the overall quality of submissions</w:t>
      </w:r>
    </w:p>
    <w:p w:rsidR="00F7674C" w:rsidRDefault="00F7674C" w:rsidP="00F7674C">
      <w:pPr>
        <w:numPr>
          <w:ilvl w:val="0"/>
          <w:numId w:val="1"/>
        </w:numPr>
        <w:spacing w:after="0"/>
        <w:ind w:left="709"/>
        <w:rPr>
          <w:rFonts w:ascii="Calibri" w:hAnsi="Calibri"/>
          <w:sz w:val="24"/>
        </w:rPr>
      </w:pPr>
      <w:r>
        <w:rPr>
          <w:rFonts w:ascii="Calibri" w:hAnsi="Calibri"/>
          <w:sz w:val="24"/>
        </w:rPr>
        <w:t>Oversee the management of the SEDA c</w:t>
      </w:r>
      <w:r w:rsidRPr="0024347D">
        <w:rPr>
          <w:rFonts w:ascii="Calibri" w:hAnsi="Calibri"/>
          <w:sz w:val="24"/>
        </w:rPr>
        <w:t>ourses,</w:t>
      </w:r>
      <w:r>
        <w:rPr>
          <w:rFonts w:ascii="Calibri" w:hAnsi="Calibri"/>
          <w:sz w:val="24"/>
        </w:rPr>
        <w:t xml:space="preserve"> ensuring they run at appropriate intervals in response to demand, that the curriculum is relevant and forward-looking, that the quality of the courses is satisfactory, and that there is an appropriate balance between the costs of running the course and the fee income generated.</w:t>
      </w:r>
    </w:p>
    <w:p w:rsidR="00F7674C" w:rsidRPr="0024347D" w:rsidRDefault="00F7674C" w:rsidP="00F7674C">
      <w:pPr>
        <w:numPr>
          <w:ilvl w:val="0"/>
          <w:numId w:val="1"/>
        </w:numPr>
        <w:spacing w:after="0"/>
        <w:ind w:left="709"/>
        <w:rPr>
          <w:rFonts w:ascii="Calibri" w:hAnsi="Calibri"/>
          <w:sz w:val="24"/>
        </w:rPr>
      </w:pPr>
      <w:r>
        <w:rPr>
          <w:rFonts w:ascii="Calibri" w:hAnsi="Calibri"/>
          <w:sz w:val="24"/>
        </w:rPr>
        <w:t>Initiate some SEDA projects, and co-ordinate all SEDA projects, working across different areas of SEDA’s provision and with external partners</w:t>
      </w:r>
      <w:r w:rsidRPr="00664573">
        <w:rPr>
          <w:rFonts w:ascii="Calibri" w:hAnsi="Calibri"/>
          <w:sz w:val="24"/>
        </w:rPr>
        <w:t xml:space="preserve"> </w:t>
      </w:r>
      <w:r>
        <w:rPr>
          <w:rFonts w:ascii="Calibri" w:hAnsi="Calibri"/>
          <w:sz w:val="24"/>
        </w:rPr>
        <w:t>in areas which will benefit SEDA</w:t>
      </w:r>
    </w:p>
    <w:p w:rsidR="00F7674C" w:rsidRPr="0024347D" w:rsidRDefault="00F7674C" w:rsidP="00F7674C">
      <w:pPr>
        <w:numPr>
          <w:ilvl w:val="0"/>
          <w:numId w:val="1"/>
        </w:numPr>
        <w:spacing w:after="0"/>
        <w:ind w:left="709"/>
        <w:rPr>
          <w:rFonts w:ascii="Calibri" w:hAnsi="Calibri"/>
          <w:sz w:val="24"/>
        </w:rPr>
      </w:pPr>
      <w:r>
        <w:rPr>
          <w:rFonts w:ascii="Calibri" w:hAnsi="Calibri"/>
          <w:sz w:val="24"/>
        </w:rPr>
        <w:lastRenderedPageBreak/>
        <w:t>Identify and create opportunities for income generation and developing these into proposals for taking forward by SEC or other sections of SEDA</w:t>
      </w:r>
    </w:p>
    <w:p w:rsidR="00F7674C" w:rsidRDefault="00F7674C" w:rsidP="00F7674C">
      <w:pPr>
        <w:numPr>
          <w:ilvl w:val="0"/>
          <w:numId w:val="1"/>
        </w:numPr>
        <w:spacing w:after="0"/>
        <w:ind w:left="709"/>
        <w:rPr>
          <w:rFonts w:ascii="Calibri" w:hAnsi="Calibri"/>
          <w:sz w:val="24"/>
        </w:rPr>
      </w:pPr>
      <w:r>
        <w:rPr>
          <w:rFonts w:ascii="Calibri" w:hAnsi="Calibri"/>
          <w:sz w:val="24"/>
        </w:rPr>
        <w:t xml:space="preserve">Co-ordinate the dissemination of information about SEDA </w:t>
      </w:r>
    </w:p>
    <w:p w:rsidR="00F7674C" w:rsidRPr="004B1E88" w:rsidRDefault="00F7674C" w:rsidP="00F7674C">
      <w:pPr>
        <w:numPr>
          <w:ilvl w:val="0"/>
          <w:numId w:val="1"/>
        </w:numPr>
        <w:spacing w:after="0"/>
        <w:ind w:left="709"/>
        <w:rPr>
          <w:rFonts w:ascii="Calibri" w:hAnsi="Calibri"/>
          <w:sz w:val="24"/>
        </w:rPr>
      </w:pPr>
      <w:r w:rsidRPr="004B1E88">
        <w:rPr>
          <w:rFonts w:ascii="Calibri" w:hAnsi="Calibri"/>
          <w:sz w:val="24"/>
        </w:rPr>
        <w:t xml:space="preserve">Liaise closely with the SEDA administration to ensure that the SEDA databases and communication systems are fit for purpose to support effective and efficient communication with members, prospective members, other users of SEDA services, committees and external project partners </w:t>
      </w:r>
    </w:p>
    <w:p w:rsidR="00F7674C" w:rsidRPr="004B1E88" w:rsidRDefault="00F7674C" w:rsidP="00F7674C">
      <w:pPr>
        <w:numPr>
          <w:ilvl w:val="0"/>
          <w:numId w:val="1"/>
        </w:numPr>
        <w:spacing w:after="0"/>
        <w:ind w:left="709"/>
        <w:rPr>
          <w:rFonts w:ascii="Calibri" w:hAnsi="Calibri"/>
          <w:sz w:val="24"/>
        </w:rPr>
      </w:pPr>
      <w:r w:rsidRPr="004B1E88">
        <w:rPr>
          <w:rFonts w:ascii="Calibri" w:hAnsi="Calibri"/>
          <w:sz w:val="24"/>
        </w:rPr>
        <w:t xml:space="preserve">Support the work of other SEDA Committees through ensuring appropriate data collection, membership records, and </w:t>
      </w:r>
      <w:r>
        <w:rPr>
          <w:rFonts w:ascii="Calibri" w:hAnsi="Calibri"/>
          <w:sz w:val="24"/>
        </w:rPr>
        <w:t>d</w:t>
      </w:r>
      <w:r w:rsidRPr="004B1E88">
        <w:rPr>
          <w:rFonts w:ascii="Calibri" w:hAnsi="Calibri"/>
          <w:sz w:val="24"/>
        </w:rPr>
        <w:t>issemination of information relating to external projects and income generating activities</w:t>
      </w:r>
    </w:p>
    <w:p w:rsidR="00F7674C" w:rsidRPr="0024347D" w:rsidRDefault="00F7674C" w:rsidP="00F7674C">
      <w:pPr>
        <w:numPr>
          <w:ilvl w:val="0"/>
          <w:numId w:val="1"/>
        </w:numPr>
        <w:spacing w:after="0"/>
        <w:ind w:left="709"/>
        <w:rPr>
          <w:rFonts w:ascii="Calibri" w:hAnsi="Calibri"/>
          <w:sz w:val="24"/>
        </w:rPr>
      </w:pPr>
      <w:r>
        <w:rPr>
          <w:rFonts w:ascii="Calibri" w:hAnsi="Calibri"/>
          <w:sz w:val="24"/>
        </w:rPr>
        <w:t>A</w:t>
      </w:r>
      <w:r w:rsidRPr="0024347D">
        <w:rPr>
          <w:rFonts w:ascii="Calibri" w:hAnsi="Calibri"/>
          <w:sz w:val="24"/>
        </w:rPr>
        <w:t>dvise the SEDA Executive on policy and strategy with regards to all areas within the remit of the Committee</w:t>
      </w:r>
    </w:p>
    <w:p w:rsidR="00F7674C" w:rsidRPr="002078AC" w:rsidRDefault="00F7674C" w:rsidP="004A486B">
      <w:pPr>
        <w:spacing w:before="360" w:after="120"/>
        <w:rPr>
          <w:rFonts w:cs="Arial"/>
          <w:b/>
          <w:bCs/>
          <w:sz w:val="24"/>
        </w:rPr>
      </w:pPr>
      <w:r w:rsidRPr="002078AC">
        <w:rPr>
          <w:rFonts w:cs="Arial"/>
          <w:b/>
          <w:bCs/>
          <w:sz w:val="24"/>
        </w:rPr>
        <w:t xml:space="preserve">4. </w:t>
      </w:r>
      <w:r w:rsidR="002078AC" w:rsidRPr="002078AC">
        <w:rPr>
          <w:rFonts w:cs="Arial"/>
          <w:b/>
          <w:bCs/>
          <w:sz w:val="24"/>
        </w:rPr>
        <w:t xml:space="preserve">  </w:t>
      </w:r>
      <w:r w:rsidRPr="002078AC">
        <w:rPr>
          <w:rFonts w:cs="Arial"/>
          <w:b/>
          <w:bCs/>
          <w:sz w:val="24"/>
        </w:rPr>
        <w:t>Frequency of Meetings</w:t>
      </w:r>
    </w:p>
    <w:p w:rsidR="00F7674C" w:rsidRPr="002078AC" w:rsidRDefault="00F7674C" w:rsidP="002078AC">
      <w:pPr>
        <w:pStyle w:val="ListParagraph"/>
        <w:numPr>
          <w:ilvl w:val="0"/>
          <w:numId w:val="5"/>
        </w:numPr>
        <w:spacing w:before="120" w:after="120"/>
        <w:ind w:left="425" w:hanging="357"/>
        <w:contextualSpacing w:val="0"/>
        <w:rPr>
          <w:rFonts w:ascii="Calibri" w:hAnsi="Calibri"/>
        </w:rPr>
      </w:pPr>
      <w:r w:rsidRPr="002078AC">
        <w:rPr>
          <w:rFonts w:ascii="Calibri" w:hAnsi="Calibri"/>
        </w:rPr>
        <w:t xml:space="preserve">The Sub-Committee shall meet (face to face or virtually) whenever it chooses (but usually three times a year). </w:t>
      </w:r>
    </w:p>
    <w:p w:rsidR="00F7674C" w:rsidRPr="002078AC" w:rsidRDefault="00F7674C" w:rsidP="002078AC">
      <w:pPr>
        <w:pStyle w:val="ListParagraph"/>
        <w:numPr>
          <w:ilvl w:val="0"/>
          <w:numId w:val="5"/>
        </w:numPr>
        <w:spacing w:before="120" w:after="120"/>
        <w:ind w:left="425" w:hanging="357"/>
        <w:contextualSpacing w:val="0"/>
        <w:rPr>
          <w:rFonts w:ascii="Calibri" w:hAnsi="Calibri"/>
        </w:rPr>
      </w:pPr>
      <w:r w:rsidRPr="002078AC">
        <w:rPr>
          <w:rFonts w:ascii="Calibri" w:hAnsi="Calibri"/>
        </w:rPr>
        <w:t xml:space="preserve">A quorum at each meeting shall be four members. </w:t>
      </w:r>
    </w:p>
    <w:p w:rsidR="00F7674C" w:rsidRPr="002078AC" w:rsidRDefault="00F7674C" w:rsidP="002078AC">
      <w:pPr>
        <w:pStyle w:val="ListParagraph"/>
        <w:numPr>
          <w:ilvl w:val="0"/>
          <w:numId w:val="5"/>
        </w:numPr>
        <w:spacing w:before="120" w:after="120"/>
        <w:ind w:left="425" w:hanging="357"/>
        <w:contextualSpacing w:val="0"/>
        <w:rPr>
          <w:rFonts w:ascii="Calibri" w:hAnsi="Calibri"/>
        </w:rPr>
      </w:pPr>
      <w:r w:rsidRPr="002078AC">
        <w:rPr>
          <w:rFonts w:ascii="Calibri" w:hAnsi="Calibri"/>
        </w:rPr>
        <w:t>Occasionally a short life working-group may be created by the Sub-Committee to work on a particular project. This group may co-opt people outside of the Sub-Committee.</w:t>
      </w:r>
    </w:p>
    <w:p w:rsidR="00F7674C" w:rsidRPr="002078AC" w:rsidRDefault="002078AC" w:rsidP="004A486B">
      <w:pPr>
        <w:pStyle w:val="ListParagraph"/>
        <w:numPr>
          <w:ilvl w:val="0"/>
          <w:numId w:val="11"/>
        </w:numPr>
        <w:spacing w:before="360" w:after="120"/>
        <w:ind w:left="425" w:hanging="357"/>
        <w:contextualSpacing w:val="0"/>
        <w:rPr>
          <w:rFonts w:ascii="Arial" w:hAnsi="Arial" w:cs="Arial"/>
          <w:b/>
          <w:bCs/>
        </w:rPr>
      </w:pPr>
      <w:r w:rsidRPr="002078AC">
        <w:rPr>
          <w:rFonts w:ascii="Arial" w:hAnsi="Arial" w:cs="Arial"/>
          <w:b/>
          <w:bCs/>
        </w:rPr>
        <w:t xml:space="preserve">  </w:t>
      </w:r>
      <w:r w:rsidR="00F7674C" w:rsidRPr="002078AC">
        <w:rPr>
          <w:rFonts w:ascii="Arial" w:hAnsi="Arial" w:cs="Arial"/>
          <w:b/>
          <w:bCs/>
        </w:rPr>
        <w:t>Chair Person</w:t>
      </w:r>
    </w:p>
    <w:p w:rsidR="00F7674C" w:rsidRPr="00ED788A" w:rsidRDefault="00F7674C" w:rsidP="00F7674C">
      <w:pPr>
        <w:pStyle w:val="ListParagraph"/>
        <w:numPr>
          <w:ilvl w:val="0"/>
          <w:numId w:val="8"/>
        </w:numPr>
        <w:spacing w:before="120" w:after="120"/>
        <w:ind w:left="425" w:hanging="357"/>
        <w:contextualSpacing w:val="0"/>
        <w:rPr>
          <w:rFonts w:ascii="Calibri" w:hAnsi="Calibri"/>
        </w:rPr>
      </w:pPr>
      <w:r w:rsidRPr="00ED788A">
        <w:rPr>
          <w:rFonts w:ascii="Calibri" w:hAnsi="Calibri"/>
        </w:rPr>
        <w:t>The Sub-Committee elects a Chair/Co-Chairs of its meetings initially for a three year period with the option of standing for re-election for a one year period.  At least one year shall elapse before standing for the same post again.</w:t>
      </w:r>
    </w:p>
    <w:p w:rsidR="00F7674C" w:rsidRDefault="00F7674C" w:rsidP="00F7674C">
      <w:pPr>
        <w:pStyle w:val="ListParagraph"/>
        <w:numPr>
          <w:ilvl w:val="0"/>
          <w:numId w:val="8"/>
        </w:numPr>
        <w:spacing w:before="120" w:after="120"/>
        <w:ind w:left="425" w:hanging="357"/>
        <w:contextualSpacing w:val="0"/>
        <w:rPr>
          <w:rFonts w:ascii="Calibri" w:hAnsi="Calibri"/>
        </w:rPr>
      </w:pPr>
      <w:r w:rsidRPr="00ED788A">
        <w:rPr>
          <w:rFonts w:ascii="Calibri" w:hAnsi="Calibri"/>
        </w:rPr>
        <w:t>The Chair/Co-Chairs will become member(s) of SEDA’s Executive Committee and so must be available for these meetings as well as the Sub-Committee meetings. Where a Chair cannot attend an Executive meeting, the Deputy Chair should attend in their place.</w:t>
      </w:r>
    </w:p>
    <w:p w:rsidR="00ED788A" w:rsidRPr="002078AC" w:rsidRDefault="002078AC" w:rsidP="004A486B">
      <w:pPr>
        <w:pStyle w:val="ListParagraph"/>
        <w:numPr>
          <w:ilvl w:val="0"/>
          <w:numId w:val="11"/>
        </w:numPr>
        <w:spacing w:before="360" w:after="120"/>
        <w:ind w:left="425" w:hanging="357"/>
        <w:contextualSpacing w:val="0"/>
        <w:rPr>
          <w:rFonts w:ascii="Arial" w:hAnsi="Arial" w:cs="Arial"/>
          <w:b/>
          <w:bCs/>
          <w:szCs w:val="22"/>
        </w:rPr>
      </w:pPr>
      <w:r w:rsidRPr="002078AC">
        <w:rPr>
          <w:rFonts w:ascii="Arial" w:hAnsi="Arial" w:cs="Arial"/>
          <w:b/>
          <w:bCs/>
          <w:szCs w:val="22"/>
        </w:rPr>
        <w:t xml:space="preserve"> </w:t>
      </w:r>
      <w:r w:rsidR="00ED788A" w:rsidRPr="002078AC">
        <w:rPr>
          <w:rFonts w:ascii="Arial" w:hAnsi="Arial" w:cs="Arial"/>
          <w:b/>
          <w:bCs/>
          <w:szCs w:val="22"/>
        </w:rPr>
        <w:t>Membership</w:t>
      </w:r>
    </w:p>
    <w:p w:rsidR="00ED788A" w:rsidRPr="002078AC" w:rsidRDefault="00ED788A" w:rsidP="002078AC">
      <w:pPr>
        <w:pStyle w:val="ListParagraph"/>
        <w:numPr>
          <w:ilvl w:val="0"/>
          <w:numId w:val="17"/>
        </w:numPr>
        <w:spacing w:before="120" w:after="120"/>
        <w:ind w:left="426" w:hanging="357"/>
        <w:contextualSpacing w:val="0"/>
        <w:rPr>
          <w:rFonts w:ascii="Calibri" w:hAnsi="Calibri"/>
        </w:rPr>
      </w:pPr>
      <w:r w:rsidRPr="002078AC">
        <w:rPr>
          <w:rFonts w:ascii="Calibri" w:hAnsi="Calibri"/>
        </w:rPr>
        <w:t>The Sub-Committee should normally consist of a Chair and Deputy-Chair; or Co-Chairs; and at least six other members but no more than 12 in total.</w:t>
      </w:r>
    </w:p>
    <w:p w:rsidR="00ED788A" w:rsidRPr="002078AC" w:rsidRDefault="00ED788A" w:rsidP="002078AC">
      <w:pPr>
        <w:pStyle w:val="ListParagraph"/>
        <w:numPr>
          <w:ilvl w:val="0"/>
          <w:numId w:val="17"/>
        </w:numPr>
        <w:spacing w:before="120" w:after="120"/>
        <w:ind w:left="426" w:hanging="357"/>
        <w:contextualSpacing w:val="0"/>
        <w:rPr>
          <w:rFonts w:ascii="Calibri" w:hAnsi="Calibri"/>
        </w:rPr>
      </w:pPr>
      <w:r w:rsidRPr="002078AC">
        <w:rPr>
          <w:rFonts w:ascii="Calibri" w:hAnsi="Calibri"/>
        </w:rPr>
        <w:t xml:space="preserve">Members must be SEDA individual members, associate members or representatives of an institution with institutional membership. </w:t>
      </w:r>
    </w:p>
    <w:p w:rsidR="00ED788A" w:rsidRPr="002078AC" w:rsidRDefault="00ED788A" w:rsidP="002078AC">
      <w:pPr>
        <w:pStyle w:val="ListParagraph"/>
        <w:numPr>
          <w:ilvl w:val="0"/>
          <w:numId w:val="17"/>
        </w:numPr>
        <w:spacing w:before="120" w:after="120"/>
        <w:ind w:left="426" w:hanging="357"/>
        <w:contextualSpacing w:val="0"/>
        <w:rPr>
          <w:rFonts w:ascii="Calibri" w:hAnsi="Calibri"/>
        </w:rPr>
      </w:pPr>
      <w:r w:rsidRPr="002078AC">
        <w:rPr>
          <w:rFonts w:ascii="Calibri" w:hAnsi="Calibri"/>
        </w:rPr>
        <w:t>The Sub-Committee shall normally fill vacancies occurring in their membership from among the SEDA membership through an advert on the SEDA JISCmail list or an announcement at the AGM.</w:t>
      </w:r>
    </w:p>
    <w:p w:rsidR="00ED788A" w:rsidRPr="002078AC" w:rsidRDefault="00ED788A" w:rsidP="002078AC">
      <w:pPr>
        <w:pStyle w:val="ListParagraph"/>
        <w:numPr>
          <w:ilvl w:val="0"/>
          <w:numId w:val="17"/>
        </w:numPr>
        <w:spacing w:before="120" w:after="120"/>
        <w:ind w:left="426" w:hanging="357"/>
        <w:contextualSpacing w:val="0"/>
        <w:rPr>
          <w:rFonts w:ascii="Calibri" w:hAnsi="Calibri"/>
        </w:rPr>
      </w:pPr>
      <w:r w:rsidRPr="002078AC">
        <w:rPr>
          <w:rFonts w:ascii="Calibri" w:hAnsi="Calibri"/>
        </w:rPr>
        <w:t xml:space="preserve">The Sub-Committee may co-opt additional members, above the 12 maximum, for a fixed term. Co-optees do not have voting rights.  </w:t>
      </w:r>
    </w:p>
    <w:p w:rsidR="00325F90" w:rsidRPr="002078AC" w:rsidRDefault="002078AC" w:rsidP="004A486B">
      <w:pPr>
        <w:pStyle w:val="ListParagraph"/>
        <w:numPr>
          <w:ilvl w:val="0"/>
          <w:numId w:val="11"/>
        </w:numPr>
        <w:spacing w:before="360" w:after="120"/>
        <w:ind w:left="283" w:hanging="357"/>
        <w:contextualSpacing w:val="0"/>
        <w:rPr>
          <w:rFonts w:ascii="Arial" w:hAnsi="Arial" w:cs="Arial"/>
          <w:b/>
        </w:rPr>
      </w:pPr>
      <w:r w:rsidRPr="002078AC">
        <w:rPr>
          <w:rFonts w:ascii="Arial" w:hAnsi="Arial" w:cs="Arial"/>
          <w:b/>
        </w:rPr>
        <w:t xml:space="preserve"> </w:t>
      </w:r>
      <w:r w:rsidR="00325F90" w:rsidRPr="002078AC">
        <w:rPr>
          <w:rFonts w:ascii="Arial" w:hAnsi="Arial" w:cs="Arial"/>
          <w:b/>
        </w:rPr>
        <w:t>Ex Officio members</w:t>
      </w:r>
    </w:p>
    <w:p w:rsidR="00325F90" w:rsidRDefault="00325F90" w:rsidP="00325F90">
      <w:pPr>
        <w:numPr>
          <w:ilvl w:val="0"/>
          <w:numId w:val="3"/>
        </w:numPr>
        <w:spacing w:before="120" w:after="120"/>
        <w:ind w:left="357" w:hanging="357"/>
        <w:rPr>
          <w:rFonts w:ascii="Calibri" w:hAnsi="Calibri"/>
          <w:sz w:val="24"/>
        </w:rPr>
      </w:pPr>
      <w:r w:rsidRPr="0024347D">
        <w:rPr>
          <w:rFonts w:ascii="Calibri" w:hAnsi="Calibri"/>
          <w:sz w:val="24"/>
        </w:rPr>
        <w:t>SEDA Treasurer or Deputy Treasurer</w:t>
      </w:r>
      <w:r w:rsidR="002078AC">
        <w:rPr>
          <w:rFonts w:ascii="Calibri" w:hAnsi="Calibri"/>
          <w:sz w:val="24"/>
        </w:rPr>
        <w:t>.</w:t>
      </w:r>
    </w:p>
    <w:p w:rsidR="00325F90" w:rsidRPr="0024347D" w:rsidRDefault="00325F90" w:rsidP="00325F90">
      <w:pPr>
        <w:numPr>
          <w:ilvl w:val="0"/>
          <w:numId w:val="3"/>
        </w:numPr>
        <w:spacing w:before="120" w:after="120"/>
        <w:ind w:left="357" w:hanging="357"/>
        <w:rPr>
          <w:rFonts w:ascii="Calibri" w:hAnsi="Calibri"/>
          <w:sz w:val="24"/>
        </w:rPr>
      </w:pPr>
      <w:r>
        <w:rPr>
          <w:rFonts w:ascii="Calibri" w:hAnsi="Calibri"/>
          <w:sz w:val="24"/>
        </w:rPr>
        <w:t>SEDA Fellowships Co-ordinator</w:t>
      </w:r>
      <w:r w:rsidR="002078AC">
        <w:rPr>
          <w:rFonts w:ascii="Calibri" w:hAnsi="Calibri"/>
          <w:sz w:val="24"/>
        </w:rPr>
        <w:t>.</w:t>
      </w:r>
    </w:p>
    <w:p w:rsidR="00325F90" w:rsidRPr="00C529FA" w:rsidRDefault="00325F90" w:rsidP="00325F90">
      <w:pPr>
        <w:numPr>
          <w:ilvl w:val="0"/>
          <w:numId w:val="3"/>
        </w:numPr>
        <w:spacing w:before="120" w:after="120"/>
        <w:ind w:left="357" w:hanging="357"/>
        <w:rPr>
          <w:rFonts w:ascii="Calibri" w:hAnsi="Calibri"/>
          <w:sz w:val="24"/>
        </w:rPr>
      </w:pPr>
      <w:r w:rsidRPr="0024347D">
        <w:rPr>
          <w:rFonts w:ascii="Calibri" w:hAnsi="Calibri"/>
          <w:sz w:val="24"/>
        </w:rPr>
        <w:lastRenderedPageBreak/>
        <w:t>Programme Leader(s) for SEDA Award Courses</w:t>
      </w:r>
      <w:r w:rsidR="002078AC">
        <w:rPr>
          <w:rFonts w:ascii="Calibri" w:hAnsi="Calibri"/>
          <w:sz w:val="24"/>
        </w:rPr>
        <w:t>.</w:t>
      </w:r>
    </w:p>
    <w:p w:rsidR="00325F90" w:rsidRDefault="00325F90" w:rsidP="00325F90">
      <w:pPr>
        <w:numPr>
          <w:ilvl w:val="0"/>
          <w:numId w:val="3"/>
        </w:numPr>
        <w:spacing w:before="120" w:after="120"/>
        <w:ind w:left="357" w:hanging="357"/>
        <w:rPr>
          <w:rFonts w:ascii="Calibri" w:hAnsi="Calibri"/>
          <w:b/>
          <w:sz w:val="24"/>
        </w:rPr>
      </w:pPr>
      <w:r>
        <w:rPr>
          <w:rFonts w:ascii="Calibri" w:hAnsi="Calibri"/>
          <w:b/>
          <w:sz w:val="24"/>
        </w:rPr>
        <w:t>Clerk: SEDA Officer</w:t>
      </w:r>
      <w:r w:rsidR="002078AC">
        <w:rPr>
          <w:rFonts w:ascii="Calibri" w:hAnsi="Calibri"/>
          <w:b/>
          <w:sz w:val="24"/>
        </w:rPr>
        <w:t>.</w:t>
      </w:r>
    </w:p>
    <w:p w:rsidR="00F7674C" w:rsidRPr="002078AC" w:rsidRDefault="00F7674C" w:rsidP="004A486B">
      <w:pPr>
        <w:pStyle w:val="ListParagraph"/>
        <w:numPr>
          <w:ilvl w:val="0"/>
          <w:numId w:val="11"/>
        </w:numPr>
        <w:spacing w:before="360" w:after="120"/>
        <w:ind w:left="283" w:hanging="357"/>
        <w:contextualSpacing w:val="0"/>
        <w:rPr>
          <w:rFonts w:ascii="Arial" w:hAnsi="Arial" w:cs="Arial"/>
          <w:b/>
        </w:rPr>
      </w:pPr>
      <w:r w:rsidRPr="002078AC">
        <w:rPr>
          <w:rFonts w:ascii="Arial" w:hAnsi="Arial" w:cs="Arial"/>
          <w:b/>
        </w:rPr>
        <w:t>Attendance</w:t>
      </w:r>
    </w:p>
    <w:p w:rsidR="00F7674C" w:rsidRPr="002078AC" w:rsidRDefault="00F7674C" w:rsidP="002078AC">
      <w:pPr>
        <w:pStyle w:val="ListParagraph"/>
        <w:numPr>
          <w:ilvl w:val="0"/>
          <w:numId w:val="12"/>
        </w:numPr>
        <w:spacing w:before="120" w:after="120"/>
        <w:ind w:left="284" w:hanging="357"/>
        <w:contextualSpacing w:val="0"/>
        <w:rPr>
          <w:rFonts w:asciiTheme="minorHAnsi" w:hAnsiTheme="minorHAnsi" w:cstheme="minorHAnsi"/>
          <w:sz w:val="22"/>
          <w:szCs w:val="22"/>
        </w:rPr>
      </w:pPr>
      <w:r w:rsidRPr="002078AC">
        <w:rPr>
          <w:rFonts w:asciiTheme="minorHAnsi" w:hAnsiTheme="minorHAnsi" w:cstheme="minorHAnsi"/>
          <w:sz w:val="22"/>
          <w:szCs w:val="22"/>
        </w:rPr>
        <w:t xml:space="preserve">Other people may, at the SEDA Executive’s discretion or the Sub-Committee’s request, attend meetings as required. </w:t>
      </w:r>
    </w:p>
    <w:p w:rsidR="00F7674C" w:rsidRPr="002078AC" w:rsidRDefault="00F7674C" w:rsidP="002078AC">
      <w:pPr>
        <w:pStyle w:val="ListParagraph"/>
        <w:numPr>
          <w:ilvl w:val="0"/>
          <w:numId w:val="12"/>
        </w:numPr>
        <w:spacing w:before="120" w:after="120"/>
        <w:ind w:left="284" w:hanging="357"/>
        <w:contextualSpacing w:val="0"/>
        <w:rPr>
          <w:rFonts w:asciiTheme="minorHAnsi" w:hAnsiTheme="minorHAnsi" w:cstheme="minorHAnsi"/>
          <w:sz w:val="22"/>
          <w:szCs w:val="22"/>
        </w:rPr>
      </w:pPr>
      <w:r w:rsidRPr="002078AC">
        <w:rPr>
          <w:rFonts w:asciiTheme="minorHAnsi" w:hAnsiTheme="minorHAnsi" w:cstheme="minorHAnsi"/>
          <w:sz w:val="22"/>
          <w:szCs w:val="22"/>
        </w:rPr>
        <w:t>If at any meeting the Sub-Committee’s Chair/Co-Chairs are not present within ten minutes after the appointed starting time, the members present may choose one of their number to be Chair of the meeting.</w:t>
      </w:r>
    </w:p>
    <w:p w:rsidR="00F7674C" w:rsidRPr="002078AC" w:rsidRDefault="00F7674C" w:rsidP="002078AC">
      <w:pPr>
        <w:pStyle w:val="ListParagraph"/>
        <w:numPr>
          <w:ilvl w:val="0"/>
          <w:numId w:val="12"/>
        </w:numPr>
        <w:spacing w:before="120" w:after="120"/>
        <w:ind w:left="284" w:hanging="357"/>
        <w:contextualSpacing w:val="0"/>
        <w:rPr>
          <w:rFonts w:asciiTheme="minorHAnsi" w:hAnsiTheme="minorHAnsi" w:cstheme="minorHAnsi"/>
          <w:sz w:val="22"/>
          <w:szCs w:val="22"/>
        </w:rPr>
      </w:pPr>
      <w:r w:rsidRPr="002078AC">
        <w:rPr>
          <w:rFonts w:asciiTheme="minorHAnsi" w:hAnsiTheme="minorHAnsi" w:cstheme="minorHAnsi"/>
          <w:sz w:val="22"/>
          <w:szCs w:val="22"/>
        </w:rPr>
        <w:t>If a Sub-Committee member is inactive and has not been in communication for more than three consecutive meetings they may be asked to step down.</w:t>
      </w:r>
    </w:p>
    <w:p w:rsidR="00F7674C" w:rsidRPr="002078AC" w:rsidRDefault="00F7674C" w:rsidP="004A486B">
      <w:pPr>
        <w:pStyle w:val="ListParagraph"/>
        <w:numPr>
          <w:ilvl w:val="0"/>
          <w:numId w:val="11"/>
        </w:numPr>
        <w:spacing w:before="360" w:after="120"/>
        <w:ind w:left="283" w:hanging="357"/>
        <w:contextualSpacing w:val="0"/>
        <w:rPr>
          <w:rFonts w:ascii="Arial" w:hAnsi="Arial" w:cs="Arial"/>
          <w:b/>
        </w:rPr>
      </w:pPr>
      <w:r w:rsidRPr="002078AC">
        <w:rPr>
          <w:rFonts w:ascii="Arial" w:hAnsi="Arial" w:cs="Arial"/>
          <w:b/>
        </w:rPr>
        <w:t>Reporting</w:t>
      </w:r>
    </w:p>
    <w:p w:rsidR="00F7674C" w:rsidRDefault="00F7674C" w:rsidP="00F7674C">
      <w:pPr>
        <w:rPr>
          <w:rFonts w:ascii="Calibri" w:hAnsi="Calibri"/>
          <w:sz w:val="24"/>
        </w:rPr>
      </w:pPr>
      <w:r w:rsidRPr="0024347D">
        <w:rPr>
          <w:rFonts w:ascii="Calibri" w:hAnsi="Calibri"/>
          <w:sz w:val="24"/>
        </w:rPr>
        <w:t>The Enterprise and Services Committee reports to the SEDA Executive Committee.</w:t>
      </w:r>
    </w:p>
    <w:p w:rsidR="00F7674C" w:rsidRPr="002078AC" w:rsidRDefault="002078AC" w:rsidP="004A486B">
      <w:pPr>
        <w:pStyle w:val="ListParagraph"/>
        <w:numPr>
          <w:ilvl w:val="0"/>
          <w:numId w:val="11"/>
        </w:numPr>
        <w:spacing w:before="360" w:after="120"/>
        <w:ind w:left="283" w:hanging="357"/>
        <w:contextualSpacing w:val="0"/>
        <w:rPr>
          <w:rFonts w:ascii="Arial" w:hAnsi="Arial" w:cs="Arial"/>
          <w:b/>
        </w:rPr>
      </w:pPr>
      <w:r w:rsidRPr="002078AC">
        <w:rPr>
          <w:rFonts w:ascii="Arial" w:hAnsi="Arial" w:cs="Arial"/>
          <w:b/>
        </w:rPr>
        <w:t xml:space="preserve">  </w:t>
      </w:r>
      <w:r w:rsidR="00F7674C" w:rsidRPr="002078AC">
        <w:rPr>
          <w:rFonts w:ascii="Arial" w:hAnsi="Arial" w:cs="Arial"/>
          <w:b/>
        </w:rPr>
        <w:t>Record of Meetings</w:t>
      </w:r>
    </w:p>
    <w:p w:rsidR="00F7674C" w:rsidRPr="002078AC" w:rsidRDefault="00F7674C" w:rsidP="002078AC">
      <w:pPr>
        <w:pStyle w:val="ListParagraph"/>
        <w:numPr>
          <w:ilvl w:val="0"/>
          <w:numId w:val="13"/>
        </w:numPr>
        <w:spacing w:before="120" w:after="120"/>
        <w:ind w:left="425" w:hanging="357"/>
        <w:contextualSpacing w:val="0"/>
        <w:rPr>
          <w:rFonts w:asciiTheme="minorHAnsi" w:hAnsiTheme="minorHAnsi" w:cstheme="minorHAnsi"/>
          <w:sz w:val="22"/>
          <w:szCs w:val="22"/>
        </w:rPr>
      </w:pPr>
      <w:r w:rsidRPr="002078AC">
        <w:rPr>
          <w:rFonts w:asciiTheme="minorHAnsi" w:hAnsiTheme="minorHAnsi" w:cstheme="minorHAnsi"/>
          <w:sz w:val="22"/>
          <w:szCs w:val="22"/>
        </w:rPr>
        <w:t xml:space="preserve">The Sub-Committee Chair/Co-Chairs shall ensure that an agreed written record of each of its meetings is completed by a member of the SEDA office in the form of action minutes. </w:t>
      </w:r>
    </w:p>
    <w:p w:rsidR="00F7674C" w:rsidRPr="002078AC" w:rsidRDefault="00F7674C" w:rsidP="002078AC">
      <w:pPr>
        <w:pStyle w:val="ListParagraph"/>
        <w:numPr>
          <w:ilvl w:val="0"/>
          <w:numId w:val="13"/>
        </w:numPr>
        <w:spacing w:before="120" w:after="120"/>
        <w:ind w:left="425" w:hanging="357"/>
        <w:contextualSpacing w:val="0"/>
        <w:rPr>
          <w:rFonts w:asciiTheme="minorHAnsi" w:hAnsiTheme="minorHAnsi" w:cstheme="minorHAnsi"/>
          <w:sz w:val="22"/>
          <w:szCs w:val="22"/>
        </w:rPr>
      </w:pPr>
      <w:r w:rsidRPr="002078AC">
        <w:rPr>
          <w:rFonts w:asciiTheme="minorHAnsi" w:hAnsiTheme="minorHAnsi" w:cstheme="minorHAnsi"/>
          <w:sz w:val="22"/>
          <w:szCs w:val="22"/>
        </w:rPr>
        <w:t>If a member of the SEDA office is unavailable to take minutes, a member of the Sub-Committee should do so.</w:t>
      </w:r>
    </w:p>
    <w:p w:rsidR="00F7674C" w:rsidRPr="002078AC" w:rsidRDefault="00F7674C" w:rsidP="002078AC">
      <w:pPr>
        <w:pStyle w:val="ListParagraph"/>
        <w:numPr>
          <w:ilvl w:val="0"/>
          <w:numId w:val="13"/>
        </w:numPr>
        <w:spacing w:before="120" w:after="120"/>
        <w:ind w:left="425" w:hanging="357"/>
        <w:contextualSpacing w:val="0"/>
        <w:rPr>
          <w:rFonts w:asciiTheme="minorHAnsi" w:hAnsiTheme="minorHAnsi" w:cstheme="minorHAnsi"/>
          <w:sz w:val="22"/>
          <w:szCs w:val="22"/>
        </w:rPr>
      </w:pPr>
      <w:r w:rsidRPr="002078AC">
        <w:rPr>
          <w:rFonts w:asciiTheme="minorHAnsi" w:hAnsiTheme="minorHAnsi" w:cstheme="minorHAnsi"/>
          <w:sz w:val="22"/>
          <w:szCs w:val="22"/>
        </w:rPr>
        <w:t xml:space="preserve">A report will be provided for each SEDA Executive meeting. </w:t>
      </w:r>
    </w:p>
    <w:p w:rsidR="00F7674C" w:rsidRPr="002078AC" w:rsidRDefault="00F7674C" w:rsidP="002078AC">
      <w:pPr>
        <w:pStyle w:val="ListParagraph"/>
        <w:numPr>
          <w:ilvl w:val="0"/>
          <w:numId w:val="13"/>
        </w:numPr>
        <w:spacing w:before="120" w:after="120"/>
        <w:ind w:left="425" w:hanging="357"/>
        <w:contextualSpacing w:val="0"/>
        <w:rPr>
          <w:rFonts w:asciiTheme="minorHAnsi" w:hAnsiTheme="minorHAnsi" w:cstheme="minorHAnsi"/>
          <w:sz w:val="22"/>
          <w:szCs w:val="22"/>
        </w:rPr>
      </w:pPr>
      <w:r w:rsidRPr="002078AC">
        <w:rPr>
          <w:rFonts w:asciiTheme="minorHAnsi" w:hAnsiTheme="minorHAnsi" w:cstheme="minorHAnsi"/>
          <w:sz w:val="22"/>
          <w:szCs w:val="22"/>
        </w:rPr>
        <w:t>Action minutes must be available to the Executive Committee if requested.</w:t>
      </w:r>
    </w:p>
    <w:p w:rsidR="00325F90" w:rsidRPr="0049250D" w:rsidRDefault="0049250D" w:rsidP="004A486B">
      <w:pPr>
        <w:pStyle w:val="ListParagraph"/>
        <w:numPr>
          <w:ilvl w:val="0"/>
          <w:numId w:val="11"/>
        </w:numPr>
        <w:spacing w:before="360" w:after="120"/>
        <w:ind w:left="283" w:hanging="357"/>
        <w:contextualSpacing w:val="0"/>
        <w:rPr>
          <w:rFonts w:ascii="Arial" w:hAnsi="Arial" w:cs="Arial"/>
          <w:b/>
        </w:rPr>
      </w:pPr>
      <w:r w:rsidRPr="0049250D">
        <w:rPr>
          <w:rFonts w:ascii="Arial" w:hAnsi="Arial" w:cs="Arial"/>
          <w:b/>
        </w:rPr>
        <w:t xml:space="preserve"> </w:t>
      </w:r>
      <w:r>
        <w:rPr>
          <w:rFonts w:ascii="Arial" w:hAnsi="Arial" w:cs="Arial"/>
          <w:b/>
        </w:rPr>
        <w:t xml:space="preserve"> </w:t>
      </w:r>
      <w:r w:rsidR="00325F90" w:rsidRPr="0049250D">
        <w:rPr>
          <w:rFonts w:ascii="Arial" w:hAnsi="Arial" w:cs="Arial"/>
          <w:b/>
        </w:rPr>
        <w:t>Disputes</w:t>
      </w:r>
    </w:p>
    <w:p w:rsidR="00325F90" w:rsidRPr="0049250D" w:rsidRDefault="00325F90" w:rsidP="0049250D">
      <w:pPr>
        <w:spacing w:before="120" w:after="120"/>
        <w:rPr>
          <w:rFonts w:asciiTheme="minorHAnsi" w:hAnsiTheme="minorHAnsi" w:cstheme="minorHAnsi"/>
          <w:szCs w:val="22"/>
        </w:rPr>
      </w:pPr>
      <w:r w:rsidRPr="0049250D">
        <w:rPr>
          <w:rFonts w:asciiTheme="minorHAnsi" w:hAnsiTheme="minorHAnsi" w:cstheme="minorHAnsi"/>
          <w:szCs w:val="22"/>
        </w:rPr>
        <w:t>In the first instance, any disputes within the Sub-Committee, should be resolved through the Chair/Co-Chairs if possible. If this fails then matters may be reported to a specially arranged subgroup of the SEDA Executive Committee and agreed by the SEDA Co-Chairs.</w:t>
      </w:r>
    </w:p>
    <w:p w:rsidR="00ED788A" w:rsidRDefault="00ED788A" w:rsidP="00ED788A">
      <w:pPr>
        <w:widowControl w:val="0"/>
        <w:autoSpaceDE w:val="0"/>
        <w:autoSpaceDN w:val="0"/>
        <w:adjustRightInd w:val="0"/>
        <w:spacing w:after="0"/>
        <w:rPr>
          <w:rFonts w:ascii="Calibri" w:hAnsi="Calibri" w:cs="Times"/>
          <w:sz w:val="24"/>
        </w:rPr>
      </w:pPr>
    </w:p>
    <w:p w:rsidR="004A486B" w:rsidRDefault="004A486B" w:rsidP="00ED788A">
      <w:pPr>
        <w:widowControl w:val="0"/>
        <w:autoSpaceDE w:val="0"/>
        <w:autoSpaceDN w:val="0"/>
        <w:adjustRightInd w:val="0"/>
        <w:spacing w:after="0"/>
        <w:rPr>
          <w:rFonts w:ascii="Calibri" w:hAnsi="Calibri" w:cs="Times"/>
          <w:sz w:val="24"/>
        </w:rPr>
      </w:pPr>
    </w:p>
    <w:p w:rsidR="004A486B" w:rsidRDefault="004A486B" w:rsidP="00ED788A">
      <w:pPr>
        <w:widowControl w:val="0"/>
        <w:autoSpaceDE w:val="0"/>
        <w:autoSpaceDN w:val="0"/>
        <w:adjustRightInd w:val="0"/>
        <w:spacing w:after="0"/>
        <w:rPr>
          <w:rFonts w:ascii="Calibri" w:hAnsi="Calibri" w:cs="Times"/>
          <w:sz w:val="24"/>
        </w:rPr>
      </w:pPr>
    </w:p>
    <w:p w:rsidR="004A486B" w:rsidRPr="004A486B" w:rsidRDefault="004A486B" w:rsidP="00ED788A">
      <w:pPr>
        <w:widowControl w:val="0"/>
        <w:autoSpaceDE w:val="0"/>
        <w:autoSpaceDN w:val="0"/>
        <w:adjustRightInd w:val="0"/>
        <w:spacing w:after="0"/>
        <w:rPr>
          <w:rFonts w:ascii="Calibri" w:hAnsi="Calibri" w:cs="Times"/>
          <w:b/>
          <w:sz w:val="24"/>
        </w:rPr>
      </w:pPr>
      <w:r w:rsidRPr="004A486B">
        <w:rPr>
          <w:rFonts w:ascii="Calibri" w:hAnsi="Calibri" w:cs="Times"/>
          <w:b/>
          <w:sz w:val="24"/>
        </w:rPr>
        <w:t>29 October 2019</w:t>
      </w:r>
    </w:p>
    <w:p w:rsidR="004A486B" w:rsidRDefault="004A486B" w:rsidP="00ED788A">
      <w:pPr>
        <w:widowControl w:val="0"/>
        <w:autoSpaceDE w:val="0"/>
        <w:autoSpaceDN w:val="0"/>
        <w:adjustRightInd w:val="0"/>
        <w:spacing w:after="0"/>
        <w:rPr>
          <w:rFonts w:ascii="Calibri" w:hAnsi="Calibri" w:cs="Times"/>
          <w:sz w:val="24"/>
        </w:rPr>
      </w:pPr>
    </w:p>
    <w:p w:rsidR="004A486B" w:rsidRDefault="004A486B" w:rsidP="00ED788A">
      <w:pPr>
        <w:widowControl w:val="0"/>
        <w:autoSpaceDE w:val="0"/>
        <w:autoSpaceDN w:val="0"/>
        <w:adjustRightInd w:val="0"/>
        <w:spacing w:after="0"/>
        <w:rPr>
          <w:rFonts w:ascii="Calibri" w:hAnsi="Calibri" w:cs="Times"/>
          <w:sz w:val="24"/>
        </w:rPr>
      </w:pPr>
    </w:p>
    <w:p w:rsidR="004A486B" w:rsidRDefault="004A486B" w:rsidP="00ED788A">
      <w:pPr>
        <w:widowControl w:val="0"/>
        <w:autoSpaceDE w:val="0"/>
        <w:autoSpaceDN w:val="0"/>
        <w:adjustRightInd w:val="0"/>
        <w:spacing w:after="0"/>
        <w:rPr>
          <w:rFonts w:ascii="Calibri" w:hAnsi="Calibri" w:cs="Times"/>
          <w:sz w:val="24"/>
        </w:rPr>
      </w:pPr>
    </w:p>
    <w:p w:rsidR="0049250D" w:rsidRPr="0024347D" w:rsidRDefault="0049250D" w:rsidP="0049250D">
      <w:pPr>
        <w:widowControl w:val="0"/>
        <w:autoSpaceDE w:val="0"/>
        <w:autoSpaceDN w:val="0"/>
        <w:adjustRightInd w:val="0"/>
        <w:spacing w:after="0"/>
        <w:rPr>
          <w:rFonts w:ascii="Calibri" w:hAnsi="Calibri"/>
          <w:sz w:val="24"/>
        </w:rPr>
      </w:pPr>
      <w:r>
        <w:rPr>
          <w:rFonts w:ascii="Calibri" w:hAnsi="Calibri"/>
          <w:sz w:val="24"/>
        </w:rPr>
        <w:t>Revised Jaki Lilly, 29 October 2019.</w:t>
      </w:r>
    </w:p>
    <w:p w:rsidR="0049250D" w:rsidRDefault="0049250D" w:rsidP="0049250D">
      <w:pPr>
        <w:widowControl w:val="0"/>
        <w:autoSpaceDE w:val="0"/>
        <w:autoSpaceDN w:val="0"/>
        <w:adjustRightInd w:val="0"/>
        <w:spacing w:after="0"/>
        <w:rPr>
          <w:rFonts w:ascii="Calibri" w:hAnsi="Calibri" w:cs="Times"/>
          <w:sz w:val="24"/>
        </w:rPr>
      </w:pPr>
      <w:r>
        <w:rPr>
          <w:rFonts w:ascii="Calibri" w:hAnsi="Calibri" w:cs="Times"/>
          <w:sz w:val="24"/>
        </w:rPr>
        <w:t>Reviewed S&amp;E Committee, June 2018.</w:t>
      </w:r>
    </w:p>
    <w:p w:rsidR="0049250D" w:rsidRDefault="0049250D" w:rsidP="0049250D">
      <w:pPr>
        <w:widowControl w:val="0"/>
        <w:autoSpaceDE w:val="0"/>
        <w:autoSpaceDN w:val="0"/>
        <w:adjustRightInd w:val="0"/>
        <w:spacing w:after="0"/>
        <w:rPr>
          <w:rFonts w:ascii="Calibri" w:hAnsi="Calibri" w:cs="Times"/>
          <w:sz w:val="24"/>
        </w:rPr>
      </w:pPr>
      <w:r>
        <w:rPr>
          <w:rFonts w:ascii="Calibri" w:hAnsi="Calibri" w:cs="Times"/>
          <w:sz w:val="24"/>
        </w:rPr>
        <w:t>Revised S&amp;E Committee, 29 January 2014</w:t>
      </w:r>
    </w:p>
    <w:p w:rsidR="0049250D" w:rsidRDefault="0049250D" w:rsidP="0049250D">
      <w:pPr>
        <w:widowControl w:val="0"/>
        <w:autoSpaceDE w:val="0"/>
        <w:autoSpaceDN w:val="0"/>
        <w:adjustRightInd w:val="0"/>
        <w:spacing w:after="0"/>
        <w:rPr>
          <w:rFonts w:ascii="Calibri" w:hAnsi="Calibri" w:cs="Times"/>
          <w:sz w:val="24"/>
        </w:rPr>
      </w:pPr>
      <w:r>
        <w:rPr>
          <w:rFonts w:ascii="Calibri" w:hAnsi="Calibri" w:cs="Times"/>
          <w:sz w:val="24"/>
        </w:rPr>
        <w:t>Revised Shân Wareing, 23 April 2012</w:t>
      </w:r>
    </w:p>
    <w:p w:rsidR="00F8083A" w:rsidRPr="004A486B" w:rsidRDefault="00ED788A" w:rsidP="004A486B">
      <w:pPr>
        <w:widowControl w:val="0"/>
        <w:autoSpaceDE w:val="0"/>
        <w:autoSpaceDN w:val="0"/>
        <w:adjustRightInd w:val="0"/>
        <w:spacing w:after="0"/>
        <w:rPr>
          <w:rFonts w:ascii="Calibri" w:hAnsi="Calibri" w:cs="Times"/>
          <w:sz w:val="24"/>
        </w:rPr>
      </w:pPr>
      <w:r>
        <w:rPr>
          <w:rFonts w:ascii="Calibri" w:hAnsi="Calibri" w:cs="Times"/>
          <w:sz w:val="24"/>
        </w:rPr>
        <w:t>Tony Brand, 2010,</w:t>
      </w:r>
    </w:p>
    <w:sectPr w:rsidR="00F8083A" w:rsidRPr="004A486B" w:rsidSect="00570D69">
      <w:headerReference w:type="default" r:id="rId7"/>
      <w:footerReference w:type="default" r:id="rId8"/>
      <w:pgSz w:w="11907" w:h="16840"/>
      <w:pgMar w:top="1418" w:right="1418" w:bottom="1418" w:left="1418"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D69" w:rsidRDefault="00570D69" w:rsidP="00570D69">
      <w:pPr>
        <w:spacing w:after="0"/>
      </w:pPr>
      <w:r>
        <w:separator/>
      </w:r>
    </w:p>
  </w:endnote>
  <w:endnote w:type="continuationSeparator" w:id="0">
    <w:p w:rsidR="00570D69" w:rsidRDefault="00570D69" w:rsidP="00570D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D69" w:rsidRDefault="00570D69">
    <w:pPr>
      <w:pStyle w:val="Footer"/>
    </w:pPr>
    <w:r>
      <w:t>29 October 2019</w:t>
    </w:r>
    <w:r>
      <w:tab/>
      <w:t>V5</w:t>
    </w:r>
    <w:r>
      <w:tab/>
      <w:t xml:space="preserve">Page </w:t>
    </w:r>
    <w:r>
      <w:rPr>
        <w:b/>
        <w:bCs/>
      </w:rPr>
      <w:fldChar w:fldCharType="begin"/>
    </w:r>
    <w:r>
      <w:rPr>
        <w:b/>
        <w:bCs/>
      </w:rPr>
      <w:instrText xml:space="preserve"> PAGE  \* Arabic  \* MERGEFORMAT </w:instrText>
    </w:r>
    <w:r>
      <w:rPr>
        <w:b/>
        <w:bCs/>
      </w:rPr>
      <w:fldChar w:fldCharType="separate"/>
    </w:r>
    <w:r w:rsidR="00315962">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15962">
      <w:rPr>
        <w:b/>
        <w:bCs/>
        <w:noProof/>
      </w:rPr>
      <w:t>3</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D69" w:rsidRDefault="00570D69" w:rsidP="00570D69">
      <w:pPr>
        <w:spacing w:after="0"/>
      </w:pPr>
      <w:r>
        <w:separator/>
      </w:r>
    </w:p>
  </w:footnote>
  <w:footnote w:type="continuationSeparator" w:id="0">
    <w:p w:rsidR="00570D69" w:rsidRDefault="00570D69" w:rsidP="00570D6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D69" w:rsidRPr="00570D69" w:rsidRDefault="00570D69" w:rsidP="00570D69">
    <w:pPr>
      <w:pStyle w:val="Header"/>
      <w:jc w:val="right"/>
      <w:rPr>
        <w:rFonts w:asciiTheme="minorHAnsi" w:hAnsiTheme="minorHAnsi" w:cstheme="minorHAnsi"/>
      </w:rPr>
    </w:pPr>
    <w:r w:rsidRPr="00570D69">
      <w:rPr>
        <w:rFonts w:asciiTheme="minorHAnsi" w:hAnsiTheme="minorHAnsi" w:cstheme="minorHAnsi"/>
      </w:rPr>
      <w:t>SEDA SEC Terms of Reference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4E0C"/>
    <w:multiLevelType w:val="hybridMultilevel"/>
    <w:tmpl w:val="E2209B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0215E7"/>
    <w:multiLevelType w:val="hybridMultilevel"/>
    <w:tmpl w:val="03449F4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135D4"/>
    <w:multiLevelType w:val="hybridMultilevel"/>
    <w:tmpl w:val="A9245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D97C0A"/>
    <w:multiLevelType w:val="hybridMultilevel"/>
    <w:tmpl w:val="26422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4D6786"/>
    <w:multiLevelType w:val="hybridMultilevel"/>
    <w:tmpl w:val="D20C9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C40FB4"/>
    <w:multiLevelType w:val="hybridMultilevel"/>
    <w:tmpl w:val="5120D0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446E6A"/>
    <w:multiLevelType w:val="hybridMultilevel"/>
    <w:tmpl w:val="5D9A36B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6E6E4B"/>
    <w:multiLevelType w:val="hybridMultilevel"/>
    <w:tmpl w:val="2398F7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620256"/>
    <w:multiLevelType w:val="hybridMultilevel"/>
    <w:tmpl w:val="B2CE2F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6A5F2C"/>
    <w:multiLevelType w:val="hybridMultilevel"/>
    <w:tmpl w:val="BEA2C378"/>
    <w:lvl w:ilvl="0" w:tplc="45B485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9A7543"/>
    <w:multiLevelType w:val="hybridMultilevel"/>
    <w:tmpl w:val="B4A0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9D7286"/>
    <w:multiLevelType w:val="hybridMultilevel"/>
    <w:tmpl w:val="A5BEE8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D12317"/>
    <w:multiLevelType w:val="hybridMultilevel"/>
    <w:tmpl w:val="B1C4360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1C272E"/>
    <w:multiLevelType w:val="hybridMultilevel"/>
    <w:tmpl w:val="975AFD22"/>
    <w:lvl w:ilvl="0" w:tplc="B5AE4D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C84977"/>
    <w:multiLevelType w:val="hybridMultilevel"/>
    <w:tmpl w:val="2B3CF11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D70A85"/>
    <w:multiLevelType w:val="hybridMultilevel"/>
    <w:tmpl w:val="9C18F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
  </w:num>
  <w:num w:numId="3">
    <w:abstractNumId w:val="3"/>
  </w:num>
  <w:num w:numId="4">
    <w:abstractNumId w:val="0"/>
  </w:num>
  <w:num w:numId="5">
    <w:abstractNumId w:val="8"/>
  </w:num>
  <w:num w:numId="6">
    <w:abstractNumId w:val="11"/>
  </w:num>
  <w:num w:numId="7">
    <w:abstractNumId w:val="8"/>
    <w:lvlOverride w:ilvl="0">
      <w:lvl w:ilvl="0" w:tplc="08090017">
        <w:start w:val="1"/>
        <w:numFmt w:val="lowerLetter"/>
        <w:lvlText w:val="%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8">
    <w:abstractNumId w:val="9"/>
  </w:num>
  <w:num w:numId="9">
    <w:abstractNumId w:val="12"/>
  </w:num>
  <w:num w:numId="10">
    <w:abstractNumId w:val="13"/>
  </w:num>
  <w:num w:numId="11">
    <w:abstractNumId w:val="15"/>
  </w:num>
  <w:num w:numId="12">
    <w:abstractNumId w:val="6"/>
  </w:num>
  <w:num w:numId="13">
    <w:abstractNumId w:val="1"/>
  </w:num>
  <w:num w:numId="14">
    <w:abstractNumId w:val="14"/>
  </w:num>
  <w:num w:numId="15">
    <w:abstractNumId w:val="4"/>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88A"/>
    <w:rsid w:val="002078AC"/>
    <w:rsid w:val="00315962"/>
    <w:rsid w:val="00325F90"/>
    <w:rsid w:val="0049250D"/>
    <w:rsid w:val="004A486B"/>
    <w:rsid w:val="005251F8"/>
    <w:rsid w:val="00570D69"/>
    <w:rsid w:val="00ED788A"/>
    <w:rsid w:val="00F7674C"/>
    <w:rsid w:val="00F80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D0C58-09D3-47E7-B1D4-EEE8200CA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88A"/>
    <w:pPr>
      <w:spacing w:after="200" w:line="240" w:lineRule="auto"/>
    </w:pPr>
    <w:rPr>
      <w:rFonts w:ascii="Arial" w:eastAsia="Cambria"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88A"/>
    <w:pPr>
      <w:widowControl w:val="0"/>
      <w:autoSpaceDE w:val="0"/>
      <w:autoSpaceDN w:val="0"/>
      <w:adjustRightInd w:val="0"/>
      <w:spacing w:after="0"/>
      <w:ind w:left="720"/>
      <w:contextualSpacing/>
    </w:pPr>
    <w:rPr>
      <w:rFonts w:ascii="Times New Roman" w:eastAsiaTheme="minorEastAsia" w:hAnsi="Times New Roman"/>
      <w:sz w:val="24"/>
      <w:lang w:val="en-US" w:eastAsia="en-GB"/>
    </w:rPr>
  </w:style>
  <w:style w:type="paragraph" w:styleId="Header">
    <w:name w:val="header"/>
    <w:basedOn w:val="Normal"/>
    <w:link w:val="HeaderChar"/>
    <w:uiPriority w:val="99"/>
    <w:unhideWhenUsed/>
    <w:rsid w:val="00570D69"/>
    <w:pPr>
      <w:tabs>
        <w:tab w:val="center" w:pos="4513"/>
        <w:tab w:val="right" w:pos="9026"/>
      </w:tabs>
      <w:spacing w:after="0"/>
    </w:pPr>
  </w:style>
  <w:style w:type="character" w:customStyle="1" w:styleId="HeaderChar">
    <w:name w:val="Header Char"/>
    <w:basedOn w:val="DefaultParagraphFont"/>
    <w:link w:val="Header"/>
    <w:uiPriority w:val="99"/>
    <w:rsid w:val="00570D69"/>
    <w:rPr>
      <w:rFonts w:ascii="Arial" w:eastAsia="Cambria" w:hAnsi="Arial" w:cs="Times New Roman"/>
      <w:szCs w:val="24"/>
    </w:rPr>
  </w:style>
  <w:style w:type="paragraph" w:styleId="Footer">
    <w:name w:val="footer"/>
    <w:basedOn w:val="Normal"/>
    <w:link w:val="FooterChar"/>
    <w:uiPriority w:val="99"/>
    <w:unhideWhenUsed/>
    <w:rsid w:val="00570D69"/>
    <w:pPr>
      <w:tabs>
        <w:tab w:val="center" w:pos="4513"/>
        <w:tab w:val="right" w:pos="9026"/>
      </w:tabs>
      <w:spacing w:after="0"/>
    </w:pPr>
  </w:style>
  <w:style w:type="character" w:customStyle="1" w:styleId="FooterChar">
    <w:name w:val="Footer Char"/>
    <w:basedOn w:val="DefaultParagraphFont"/>
    <w:link w:val="Footer"/>
    <w:uiPriority w:val="99"/>
    <w:rsid w:val="00570D69"/>
    <w:rPr>
      <w:rFonts w:ascii="Arial" w:eastAsia="Cambria"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Lilly, Jaki</dc:creator>
  <cp:keywords/>
  <dc:description/>
  <cp:lastModifiedBy>Roz Grimmitt</cp:lastModifiedBy>
  <cp:revision>2</cp:revision>
  <dcterms:created xsi:type="dcterms:W3CDTF">2019-11-12T13:56:00Z</dcterms:created>
  <dcterms:modified xsi:type="dcterms:W3CDTF">2019-11-12T13:56:00Z</dcterms:modified>
</cp:coreProperties>
</file>